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8D" w:rsidRPr="000B6588" w:rsidRDefault="00525B8D" w:rsidP="00525B8D">
      <w:pPr>
        <w:pStyle w:val="Header"/>
        <w:tabs>
          <w:tab w:val="clear" w:pos="4320"/>
          <w:tab w:val="clear" w:pos="8640"/>
        </w:tabs>
        <w:spacing w:line="276" w:lineRule="auto"/>
        <w:jc w:val="center"/>
        <w:rPr>
          <w:rFonts w:ascii="Times New Roman" w:hAnsi="Times New Roman"/>
          <w:i/>
          <w:color w:val="000000"/>
          <w:sz w:val="26"/>
          <w:szCs w:val="26"/>
          <w:lang w:val="nl-NL"/>
        </w:rPr>
      </w:pPr>
      <w:r w:rsidRPr="000B6588">
        <w:rPr>
          <w:rFonts w:ascii="Times New Roman" w:hAnsi="Times New Roman"/>
          <w:i/>
          <w:color w:val="000000"/>
          <w:sz w:val="26"/>
          <w:szCs w:val="26"/>
          <w:lang w:val="nl-NL"/>
        </w:rPr>
        <w:t>(Ban hành kèm theo Quy chế hoạt động đăng ký và chuyển quyền sở hữu chứng khoán)</w:t>
      </w:r>
    </w:p>
    <w:p w:rsidR="00525B8D" w:rsidRPr="000B6588" w:rsidRDefault="00525B8D" w:rsidP="00525B8D">
      <w:pPr>
        <w:pStyle w:val="Header"/>
        <w:tabs>
          <w:tab w:val="clear" w:pos="4320"/>
          <w:tab w:val="clear" w:pos="8640"/>
          <w:tab w:val="left" w:pos="5320"/>
        </w:tabs>
        <w:spacing w:line="276" w:lineRule="auto"/>
        <w:rPr>
          <w:rFonts w:ascii="Times New Roman" w:hAnsi="Times New Roman"/>
          <w:color w:val="000000"/>
          <w:sz w:val="26"/>
          <w:szCs w:val="26"/>
          <w:lang w:val="nl-NL"/>
        </w:rPr>
      </w:pPr>
    </w:p>
    <w:p w:rsidR="00525B8D" w:rsidRPr="000B6588" w:rsidRDefault="00525B8D" w:rsidP="00525B8D">
      <w:pPr>
        <w:pStyle w:val="Heading4"/>
        <w:spacing w:before="0" w:after="0" w:line="276" w:lineRule="auto"/>
        <w:ind w:left="-360" w:right="-496" w:firstLine="180"/>
        <w:rPr>
          <w:color w:val="000000"/>
          <w:szCs w:val="26"/>
          <w:lang w:val="nl-NL"/>
        </w:rPr>
      </w:pPr>
      <w:r w:rsidRPr="000B6588">
        <w:rPr>
          <w:color w:val="000000"/>
          <w:szCs w:val="26"/>
          <w:lang w:val="nl-NL"/>
        </w:rPr>
        <w:t xml:space="preserve">Mẫu </w:t>
      </w:r>
      <w:r>
        <w:rPr>
          <w:color w:val="000000"/>
          <w:szCs w:val="26"/>
          <w:lang w:val="nl-NL"/>
        </w:rPr>
        <w:t>08A/ĐKCK</w:t>
      </w:r>
      <w:r w:rsidRPr="000B6588">
        <w:rPr>
          <w:color w:val="000000"/>
          <w:szCs w:val="26"/>
          <w:lang w:val="nl-NL"/>
        </w:rPr>
        <w:t xml:space="preserve">  </w:t>
      </w:r>
    </w:p>
    <w:tbl>
      <w:tblPr>
        <w:tblW w:w="9720" w:type="dxa"/>
        <w:tblInd w:w="-72" w:type="dxa"/>
        <w:tblLook w:val="0000" w:firstRow="0" w:lastRow="0" w:firstColumn="0" w:lastColumn="0" w:noHBand="0" w:noVBand="0"/>
      </w:tblPr>
      <w:tblGrid>
        <w:gridCol w:w="9720"/>
      </w:tblGrid>
      <w:tr w:rsidR="00525B8D" w:rsidRPr="000B6588" w:rsidTr="009221E6">
        <w:trPr>
          <w:trHeight w:val="941"/>
        </w:trPr>
        <w:tc>
          <w:tcPr>
            <w:tcW w:w="9720" w:type="dxa"/>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CỘNG HOÀ XÃ HỘI CHỦ NGHĨA VIỆT NAM</w:t>
            </w:r>
          </w:p>
          <w:p w:rsidR="00525B8D" w:rsidRPr="000B6588" w:rsidRDefault="00525B8D" w:rsidP="009221E6">
            <w:pPr>
              <w:pStyle w:val="Header"/>
              <w:tabs>
                <w:tab w:val="clear" w:pos="4320"/>
                <w:tab w:val="clear" w:pos="8640"/>
              </w:tabs>
              <w:spacing w:line="276" w:lineRule="auto"/>
              <w:jc w:val="center"/>
              <w:rPr>
                <w:rFonts w:ascii="Times New Roman" w:hAnsi="Times New Roman"/>
                <w:b/>
                <w:bCs/>
                <w:color w:val="000000"/>
                <w:sz w:val="26"/>
                <w:szCs w:val="26"/>
              </w:rPr>
            </w:pPr>
            <w:proofErr w:type="spellStart"/>
            <w:r w:rsidRPr="000B6588">
              <w:rPr>
                <w:rFonts w:ascii="Times New Roman" w:hAnsi="Times New Roman"/>
                <w:b/>
                <w:bCs/>
                <w:color w:val="000000"/>
                <w:sz w:val="26"/>
                <w:szCs w:val="26"/>
              </w:rPr>
              <w:t>Độc</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lập</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Tự</w:t>
            </w:r>
            <w:proofErr w:type="spellEnd"/>
            <w:r w:rsidRPr="000B6588">
              <w:rPr>
                <w:rFonts w:ascii="Times New Roman" w:hAnsi="Times New Roman"/>
                <w:b/>
                <w:bCs/>
                <w:color w:val="000000"/>
                <w:sz w:val="26"/>
                <w:szCs w:val="26"/>
              </w:rPr>
              <w:t xml:space="preserve"> do- Hạnh </w:t>
            </w:r>
            <w:proofErr w:type="spellStart"/>
            <w:r w:rsidRPr="000B6588">
              <w:rPr>
                <w:rFonts w:ascii="Times New Roman" w:hAnsi="Times New Roman"/>
                <w:b/>
                <w:bCs/>
                <w:color w:val="000000"/>
                <w:sz w:val="26"/>
                <w:szCs w:val="26"/>
              </w:rPr>
              <w:t>phúc</w:t>
            </w:r>
            <w:proofErr w:type="spellEnd"/>
          </w:p>
          <w:p w:rsidR="00525B8D" w:rsidRPr="000B6588" w:rsidRDefault="00525B8D" w:rsidP="009221E6">
            <w:pPr>
              <w:pStyle w:val="Header"/>
              <w:tabs>
                <w:tab w:val="clear" w:pos="4320"/>
                <w:tab w:val="clear" w:pos="8640"/>
              </w:tabs>
              <w:spacing w:line="276" w:lineRule="auto"/>
              <w:jc w:val="center"/>
              <w:rPr>
                <w:rFonts w:ascii="Times New Roman" w:hAnsi="Times New Roman"/>
                <w:iCs/>
                <w:color w:val="000000"/>
                <w:sz w:val="26"/>
                <w:szCs w:val="26"/>
              </w:rPr>
            </w:pPr>
            <w:r w:rsidRPr="000B6588">
              <w:rPr>
                <w:rFonts w:ascii="Times New Roman" w:hAnsi="Times New Roman"/>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1988820</wp:posOffset>
                      </wp:positionH>
                      <wp:positionV relativeFrom="paragraph">
                        <wp:posOffset>99060</wp:posOffset>
                      </wp:positionV>
                      <wp:extent cx="20574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45A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7.8pt" to="31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"/>
                  </w:pict>
                </mc:Fallback>
              </mc:AlternateContent>
            </w:r>
          </w:p>
        </w:tc>
      </w:tr>
    </w:tbl>
    <w:p w:rsidR="00525B8D" w:rsidRPr="000B6588" w:rsidRDefault="00525B8D" w:rsidP="00525B8D">
      <w:pPr>
        <w:pStyle w:val="Header"/>
        <w:tabs>
          <w:tab w:val="clear" w:pos="4320"/>
          <w:tab w:val="clear" w:pos="8640"/>
        </w:tabs>
        <w:spacing w:line="276" w:lineRule="auto"/>
        <w:rPr>
          <w:rFonts w:ascii="Times New Roman" w:hAnsi="Times New Roman"/>
          <w:b/>
          <w:bCs/>
          <w:color w:val="000000"/>
          <w:sz w:val="26"/>
          <w:szCs w:val="26"/>
        </w:rPr>
      </w:pPr>
    </w:p>
    <w:p w:rsidR="00525B8D" w:rsidRPr="000B6588" w:rsidRDefault="00525B8D" w:rsidP="00525B8D">
      <w:pPr>
        <w:pStyle w:val="Header"/>
        <w:tabs>
          <w:tab w:val="clear" w:pos="4320"/>
          <w:tab w:val="clear" w:pos="8640"/>
        </w:tabs>
        <w:spacing w:line="276" w:lineRule="auto"/>
        <w:jc w:val="center"/>
        <w:rPr>
          <w:rFonts w:ascii="Times New Roman" w:hAnsi="Times New Roman"/>
          <w:bCs/>
          <w:color w:val="000000"/>
          <w:sz w:val="26"/>
          <w:szCs w:val="26"/>
        </w:rPr>
      </w:pPr>
      <w:proofErr w:type="spellStart"/>
      <w:r w:rsidRPr="000B6588">
        <w:rPr>
          <w:rFonts w:ascii="Times New Roman" w:hAnsi="Times New Roman"/>
          <w:bCs/>
          <w:color w:val="000000"/>
          <w:sz w:val="26"/>
          <w:szCs w:val="26"/>
        </w:rPr>
        <w:t>Kính</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bCs/>
          <w:color w:val="000000"/>
          <w:sz w:val="26"/>
          <w:szCs w:val="26"/>
        </w:rPr>
        <w:t>gửi</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Tổng</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công</w:t>
      </w:r>
      <w:proofErr w:type="spellEnd"/>
      <w:r w:rsidRPr="000B6588">
        <w:rPr>
          <w:rFonts w:ascii="Times New Roman" w:hAnsi="Times New Roman"/>
          <w:bCs/>
          <w:color w:val="000000"/>
          <w:sz w:val="26"/>
          <w:szCs w:val="26"/>
        </w:rPr>
        <w:t xml:space="preserve"> ty </w:t>
      </w:r>
      <w:proofErr w:type="spellStart"/>
      <w:r w:rsidRPr="000B6588">
        <w:rPr>
          <w:rFonts w:ascii="Times New Roman" w:hAnsi="Times New Roman"/>
          <w:bCs/>
          <w:color w:val="000000"/>
          <w:sz w:val="26"/>
          <w:szCs w:val="26"/>
        </w:rPr>
        <w:t>Lưu</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ký</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và</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Bù</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trừ</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chứng</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khoán</w:t>
      </w:r>
      <w:proofErr w:type="spellEnd"/>
      <w:r w:rsidRPr="000B6588">
        <w:rPr>
          <w:rFonts w:ascii="Times New Roman" w:hAnsi="Times New Roman"/>
          <w:bCs/>
          <w:color w:val="000000"/>
          <w:sz w:val="26"/>
          <w:szCs w:val="26"/>
        </w:rPr>
        <w:t xml:space="preserve"> Việt Nam</w:t>
      </w:r>
    </w:p>
    <w:p w:rsidR="00525B8D" w:rsidRPr="000B6588" w:rsidRDefault="00525B8D" w:rsidP="00525B8D">
      <w:pPr>
        <w:pStyle w:val="Header"/>
        <w:tabs>
          <w:tab w:val="clear" w:pos="4320"/>
          <w:tab w:val="clear" w:pos="8640"/>
          <w:tab w:val="left" w:pos="990"/>
        </w:tabs>
        <w:spacing w:line="276" w:lineRule="auto"/>
        <w:ind w:firstLine="720"/>
        <w:rPr>
          <w:rFonts w:ascii="Times New Roman" w:hAnsi="Times New Roman"/>
          <w:i/>
          <w:color w:val="000000"/>
          <w:sz w:val="26"/>
          <w:szCs w:val="26"/>
        </w:rPr>
      </w:pPr>
    </w:p>
    <w:p w:rsidR="00525B8D" w:rsidRPr="000B6588" w:rsidRDefault="00525B8D" w:rsidP="00525B8D">
      <w:pPr>
        <w:pStyle w:val="Header"/>
        <w:tabs>
          <w:tab w:val="clear" w:pos="4320"/>
          <w:tab w:val="clear" w:pos="8640"/>
          <w:tab w:val="left" w:pos="990"/>
        </w:tabs>
        <w:spacing w:line="276" w:lineRule="auto"/>
        <w:ind w:firstLine="567"/>
        <w:jc w:val="both"/>
        <w:rPr>
          <w:rFonts w:ascii="Times New Roman" w:hAnsi="Times New Roman"/>
          <w:i/>
          <w:color w:val="000000"/>
          <w:sz w:val="26"/>
          <w:szCs w:val="26"/>
        </w:rPr>
      </w:pPr>
      <w:proofErr w:type="spellStart"/>
      <w:r w:rsidRPr="000B6588">
        <w:rPr>
          <w:rFonts w:ascii="Times New Roman" w:hAnsi="Times New Roman"/>
          <w:i/>
          <w:color w:val="000000"/>
          <w:sz w:val="26"/>
          <w:szCs w:val="26"/>
        </w:rPr>
        <w:t>Căn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cứ</w:t>
      </w:r>
      <w:proofErr w:type="spellEnd"/>
      <w:r w:rsidRPr="000B6588">
        <w:rPr>
          <w:rFonts w:ascii="Times New Roman" w:hAnsi="Times New Roman"/>
          <w:i/>
          <w:color w:val="000000"/>
          <w:sz w:val="26"/>
          <w:szCs w:val="26"/>
        </w:rPr>
        <w:t xml:space="preserve"> ...</w:t>
      </w:r>
    </w:p>
    <w:p w:rsidR="00525B8D" w:rsidRPr="000B6588" w:rsidRDefault="00525B8D" w:rsidP="00525B8D">
      <w:pPr>
        <w:pStyle w:val="Header"/>
        <w:tabs>
          <w:tab w:val="clear" w:pos="4320"/>
          <w:tab w:val="clear" w:pos="8640"/>
          <w:tab w:val="left" w:pos="990"/>
        </w:tabs>
        <w:spacing w:line="276" w:lineRule="auto"/>
        <w:ind w:firstLine="567"/>
        <w:jc w:val="both"/>
        <w:rPr>
          <w:rFonts w:ascii="Times New Roman" w:hAnsi="Times New Roman"/>
          <w:color w:val="000000"/>
          <w:sz w:val="26"/>
          <w:szCs w:val="26"/>
        </w:rPr>
      </w:pPr>
      <w:proofErr w:type="spellStart"/>
      <w:r w:rsidRPr="000B6588">
        <w:rPr>
          <w:rFonts w:ascii="Times New Roman" w:hAnsi="Times New Roman"/>
          <w:color w:val="000000"/>
          <w:sz w:val="26"/>
          <w:szCs w:val="26"/>
        </w:rPr>
        <w:t>Chúng</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tôi</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đề</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nghị</w:t>
      </w:r>
      <w:proofErr w:type="spellEnd"/>
      <w:r w:rsidRPr="000B6588">
        <w:rPr>
          <w:rFonts w:ascii="Times New Roman" w:hAnsi="Times New Roman"/>
          <w:b/>
          <w:color w:val="000000"/>
          <w:sz w:val="26"/>
          <w:szCs w:val="26"/>
        </w:rPr>
        <w:t xml:space="preserve"> </w:t>
      </w:r>
      <w:r w:rsidRPr="000B6588">
        <w:rPr>
          <w:rFonts w:ascii="Times New Roman" w:hAnsi="Times New Roman"/>
          <w:color w:val="000000"/>
          <w:sz w:val="26"/>
          <w:szCs w:val="26"/>
          <w:lang w:val="nl-NL"/>
        </w:rPr>
        <w:t>Tổng công ty Lưu ký và Bù trừ chứng khoán Việt Nam (VSDC) thực hiện chuyển quyền sở hữu chứng khoán</w:t>
      </w:r>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theo</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các</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nội</w:t>
      </w:r>
      <w:proofErr w:type="spellEnd"/>
      <w:r w:rsidRPr="000B6588">
        <w:rPr>
          <w:rFonts w:ascii="Times New Roman" w:hAnsi="Times New Roman"/>
          <w:color w:val="000000"/>
          <w:sz w:val="26"/>
          <w:szCs w:val="26"/>
        </w:rPr>
        <w:t xml:space="preserve"> dung </w:t>
      </w:r>
      <w:proofErr w:type="spellStart"/>
      <w:r w:rsidRPr="000B6588">
        <w:rPr>
          <w:rFonts w:ascii="Times New Roman" w:hAnsi="Times New Roman"/>
          <w:color w:val="000000"/>
          <w:sz w:val="26"/>
          <w:szCs w:val="26"/>
        </w:rPr>
        <w:t>sau</w:t>
      </w:r>
      <w:proofErr w:type="spellEnd"/>
      <w:r w:rsidRPr="000B6588">
        <w:rPr>
          <w:rFonts w:ascii="Times New Roman" w:hAnsi="Times New Roman"/>
          <w:color w:val="000000"/>
          <w:sz w:val="26"/>
          <w:szCs w:val="26"/>
        </w:rPr>
        <w:t>:</w:t>
      </w:r>
    </w:p>
    <w:p w:rsidR="00525B8D" w:rsidRPr="000B6588" w:rsidRDefault="00525B8D" w:rsidP="00525B8D">
      <w:pPr>
        <w:pStyle w:val="Header"/>
        <w:tabs>
          <w:tab w:val="clear" w:pos="4320"/>
          <w:tab w:val="clear" w:pos="8640"/>
          <w:tab w:val="left" w:pos="990"/>
        </w:tabs>
        <w:spacing w:line="276" w:lineRule="auto"/>
        <w:ind w:firstLine="567"/>
        <w:jc w:val="both"/>
        <w:rPr>
          <w:rFonts w:ascii="Times New Roman" w:hAnsi="Times New Roman"/>
          <w:color w:val="000000"/>
          <w:sz w:val="26"/>
          <w:szCs w:val="26"/>
        </w:rPr>
      </w:pPr>
      <w:r w:rsidRPr="000B6588">
        <w:rPr>
          <w:rFonts w:ascii="Times New Roman" w:hAnsi="Times New Roman"/>
          <w:color w:val="000000"/>
          <w:sz w:val="26"/>
          <w:szCs w:val="26"/>
        </w:rPr>
        <w:t xml:space="preserve">1. </w:t>
      </w:r>
      <w:proofErr w:type="spellStart"/>
      <w:r w:rsidRPr="000B6588">
        <w:rPr>
          <w:rFonts w:ascii="Times New Roman" w:hAnsi="Times New Roman"/>
          <w:color w:val="000000"/>
          <w:sz w:val="26"/>
          <w:szCs w:val="26"/>
        </w:rPr>
        <w:t>Bên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chuyển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quyền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sở</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hữu</w:t>
      </w:r>
      <w:proofErr w:type="spellEnd"/>
      <w:r w:rsidRPr="000B6588">
        <w:rPr>
          <w:rFonts w:ascii="Times New Roman" w:hAnsi="Times New Roman"/>
          <w:color w:val="000000"/>
          <w:sz w:val="26"/>
          <w:szCs w:val="26"/>
        </w:rPr>
        <w:t>:</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ĐKSH:....................................</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Địa chỉ:.........................................</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Quốc tịch:.....................................</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SID: .....................................</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tài khoản lưu ký:.....................</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Nơi mở tài khoản lưu ký:..............</w:t>
      </w:r>
    </w:p>
    <w:p w:rsidR="00525B8D" w:rsidRPr="000B6588" w:rsidRDefault="00525B8D" w:rsidP="00525B8D">
      <w:pPr>
        <w:pStyle w:val="Heade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2. Bên nhận chuyển quyền sở hữu:</w:t>
      </w:r>
    </w:p>
    <w:p w:rsidR="00525B8D" w:rsidRPr="000B6588" w:rsidRDefault="00525B8D" w:rsidP="00525B8D">
      <w:pPr>
        <w:pStyle w:val="Header"/>
        <w:numPr>
          <w:ilvl w:val="0"/>
          <w:numId w:val="2"/>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ĐKSH:....................................</w:t>
      </w:r>
    </w:p>
    <w:p w:rsidR="00525B8D" w:rsidRPr="000B6588" w:rsidRDefault="00525B8D" w:rsidP="00525B8D">
      <w:pPr>
        <w:pStyle w:val="Header"/>
        <w:numPr>
          <w:ilvl w:val="0"/>
          <w:numId w:val="2"/>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Địa chỉ liên hệ:.........................................  </w:t>
      </w:r>
    </w:p>
    <w:p w:rsidR="00525B8D" w:rsidRPr="000B6588" w:rsidRDefault="00525B8D" w:rsidP="00525B8D">
      <w:pPr>
        <w:pStyle w:val="Header"/>
        <w:numPr>
          <w:ilvl w:val="0"/>
          <w:numId w:val="2"/>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Quốc tịch:..................................... </w:t>
      </w:r>
    </w:p>
    <w:p w:rsidR="00525B8D" w:rsidRPr="000B6588" w:rsidRDefault="00525B8D" w:rsidP="00525B8D">
      <w:pPr>
        <w:pStyle w:val="Header"/>
        <w:numPr>
          <w:ilvl w:val="0"/>
          <w:numId w:val="2"/>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SID: .....................................</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tài khoản lưu ký:.....................</w:t>
      </w:r>
    </w:p>
    <w:p w:rsidR="00525B8D" w:rsidRPr="000B6588" w:rsidRDefault="00525B8D" w:rsidP="00525B8D">
      <w:pPr>
        <w:pStyle w:val="Header"/>
        <w:numPr>
          <w:ilvl w:val="0"/>
          <w:numId w:val="1"/>
        </w:numPr>
        <w:tabs>
          <w:tab w:val="clear" w:pos="4320"/>
          <w:tab w:val="clear" w:pos="8640"/>
          <w:tab w:val="left" w:pos="567"/>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Nơi mở tài khoản lưu ký:..............</w:t>
      </w:r>
    </w:p>
    <w:p w:rsidR="00525B8D" w:rsidRPr="000B6588" w:rsidRDefault="00525B8D" w:rsidP="00525B8D">
      <w:pPr>
        <w:pStyle w:val="Heade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3. Thông tin chứng khoán chuyển quyền sở hữu:</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945"/>
        <w:gridCol w:w="751"/>
        <w:gridCol w:w="1173"/>
        <w:gridCol w:w="1138"/>
        <w:gridCol w:w="1125"/>
        <w:gridCol w:w="2104"/>
        <w:gridCol w:w="938"/>
        <w:tblGridChange w:id="0">
          <w:tblGrid>
            <w:gridCol w:w="708"/>
            <w:gridCol w:w="945"/>
            <w:gridCol w:w="751"/>
            <w:gridCol w:w="1173"/>
            <w:gridCol w:w="1138"/>
            <w:gridCol w:w="1125"/>
            <w:gridCol w:w="2104"/>
            <w:gridCol w:w="938"/>
          </w:tblGrid>
        </w:tblGridChange>
      </w:tblGrid>
      <w:tr w:rsidR="00525B8D" w:rsidRPr="000B6588" w:rsidTr="009221E6">
        <w:tc>
          <w:tcPr>
            <w:tcW w:w="708" w:type="dxa"/>
            <w:vAlign w:val="center"/>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STT</w:t>
            </w:r>
          </w:p>
        </w:tc>
        <w:tc>
          <w:tcPr>
            <w:tcW w:w="1005" w:type="dxa"/>
            <w:vAlign w:val="center"/>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Mã CK</w:t>
            </w:r>
          </w:p>
        </w:tc>
        <w:tc>
          <w:tcPr>
            <w:tcW w:w="222" w:type="dxa"/>
          </w:tcPr>
          <w:p w:rsidR="00525B8D" w:rsidRPr="000B6588" w:rsidRDefault="00525B8D" w:rsidP="009221E6">
            <w:pPr>
              <w:pStyle w:val="Header"/>
              <w:tabs>
                <w:tab w:val="clear" w:pos="4320"/>
                <w:tab w:val="clear" w:pos="8640"/>
              </w:tabs>
              <w:spacing w:line="276" w:lineRule="auto"/>
              <w:rPr>
                <w:rFonts w:ascii="Times New Roman" w:hAnsi="Times New Roman"/>
                <w:b/>
                <w:color w:val="000000"/>
                <w:sz w:val="26"/>
                <w:szCs w:val="26"/>
                <w:lang w:val="nl-NL"/>
              </w:rPr>
            </w:pPr>
            <w:r w:rsidRPr="000B6588">
              <w:rPr>
                <w:rFonts w:ascii="Times New Roman" w:hAnsi="Times New Roman"/>
                <w:b/>
                <w:color w:val="000000"/>
                <w:sz w:val="26"/>
                <w:szCs w:val="26"/>
                <w:lang w:val="nl-NL"/>
              </w:rPr>
              <w:t>Mã ISIN</w:t>
            </w:r>
          </w:p>
        </w:tc>
        <w:tc>
          <w:tcPr>
            <w:tcW w:w="1227" w:type="dxa"/>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Mệnh giá</w:t>
            </w:r>
          </w:p>
        </w:tc>
        <w:tc>
          <w:tcPr>
            <w:tcW w:w="1212" w:type="dxa"/>
            <w:vAlign w:val="center"/>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vertAlign w:val="superscript"/>
                <w:lang w:val="nl-NL"/>
              </w:rPr>
            </w:pPr>
            <w:r w:rsidRPr="000B6588">
              <w:rPr>
                <w:rFonts w:ascii="Times New Roman" w:hAnsi="Times New Roman"/>
                <w:b/>
                <w:color w:val="000000"/>
                <w:sz w:val="26"/>
                <w:szCs w:val="26"/>
                <w:lang w:val="nl-NL"/>
              </w:rPr>
              <w:t>Loại CK</w:t>
            </w:r>
            <w:r w:rsidRPr="000B6588">
              <w:rPr>
                <w:rStyle w:val="FootnoteReference"/>
                <w:rFonts w:ascii="Times New Roman" w:hAnsi="Times New Roman"/>
                <w:b/>
                <w:color w:val="000000"/>
                <w:sz w:val="26"/>
                <w:szCs w:val="26"/>
                <w:lang w:val="nl-NL"/>
              </w:rPr>
              <w:footnoteReference w:id="1"/>
            </w:r>
            <w:r w:rsidRPr="000B6588">
              <w:rPr>
                <w:rFonts w:ascii="Times New Roman" w:hAnsi="Times New Roman"/>
                <w:b/>
                <w:color w:val="000000"/>
                <w:sz w:val="26"/>
                <w:szCs w:val="26"/>
                <w:lang w:val="nl-NL"/>
              </w:rPr>
              <w:t xml:space="preserve"> </w:t>
            </w:r>
          </w:p>
        </w:tc>
        <w:tc>
          <w:tcPr>
            <w:tcW w:w="1171" w:type="dxa"/>
            <w:vAlign w:val="center"/>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Số lượng</w:t>
            </w:r>
          </w:p>
        </w:tc>
        <w:tc>
          <w:tcPr>
            <w:tcW w:w="2285" w:type="dxa"/>
            <w:vAlign w:val="center"/>
          </w:tcPr>
          <w:p w:rsidR="00525B8D" w:rsidRPr="000B658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Giá chuyển nhượng</w:t>
            </w:r>
          </w:p>
        </w:tc>
        <w:tc>
          <w:tcPr>
            <w:tcW w:w="992" w:type="dxa"/>
          </w:tcPr>
          <w:p w:rsidR="00525B8D" w:rsidRPr="000B6588" w:rsidDel="00F51D38" w:rsidRDefault="00525B8D"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Ghi chú</w:t>
            </w:r>
          </w:p>
        </w:tc>
      </w:tr>
      <w:tr w:rsidR="00525B8D" w:rsidRPr="000B6588" w:rsidTr="009221E6">
        <w:tc>
          <w:tcPr>
            <w:tcW w:w="708"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005"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22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227"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21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171"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2285"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99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r>
      <w:tr w:rsidR="00525B8D" w:rsidRPr="000B6588" w:rsidTr="009221E6">
        <w:tc>
          <w:tcPr>
            <w:tcW w:w="708"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005"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22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227"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21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1171"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2285"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992" w:type="dxa"/>
          </w:tcPr>
          <w:p w:rsidR="00525B8D" w:rsidRPr="000B6588" w:rsidRDefault="00525B8D" w:rsidP="009221E6">
            <w:pPr>
              <w:pStyle w:val="Header"/>
              <w:tabs>
                <w:tab w:val="clear" w:pos="4320"/>
                <w:tab w:val="clear" w:pos="8640"/>
              </w:tabs>
              <w:spacing w:line="276" w:lineRule="auto"/>
              <w:rPr>
                <w:rFonts w:ascii="Times New Roman" w:hAnsi="Times New Roman"/>
                <w:color w:val="000000"/>
                <w:sz w:val="26"/>
                <w:szCs w:val="26"/>
                <w:lang w:val="nl-NL"/>
              </w:rPr>
            </w:pPr>
          </w:p>
        </w:tc>
      </w:tr>
    </w:tbl>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4. Lý do đề nghị chuyển quyền sở hữu: ...</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5. Chúng tôi cam kết:</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b/>
          <w:i/>
          <w:iCs/>
          <w:color w:val="000000"/>
          <w:sz w:val="26"/>
          <w:szCs w:val="26"/>
          <w:lang w:val="nl-NL"/>
        </w:rPr>
      </w:pPr>
      <w:r w:rsidRPr="000B6588">
        <w:rPr>
          <w:rFonts w:ascii="Times New Roman" w:hAnsi="Times New Roman"/>
          <w:b/>
          <w:i/>
          <w:iCs/>
          <w:color w:val="000000"/>
          <w:sz w:val="26"/>
          <w:szCs w:val="26"/>
          <w:lang w:val="nl-NL"/>
        </w:rPr>
        <w:lastRenderedPageBreak/>
        <w:t>Phần nội dung áp dụng chung</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rsidR="00525B8D" w:rsidRPr="000B6588" w:rsidRDefault="00525B8D" w:rsidP="00525B8D">
      <w:pPr>
        <w:pStyle w:val="Header"/>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Tuân thủ quy định về công bố thông tin, chào mua công khai, tỷ lệ sở hữu nước ngoài tối đa theo quy định của pháp luật.</w:t>
      </w:r>
    </w:p>
    <w:p w:rsidR="00525B8D" w:rsidRPr="000B6588" w:rsidRDefault="00525B8D" w:rsidP="00525B8D">
      <w:pPr>
        <w:pStyle w:val="Header"/>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Tự chịu trách nhiệm việc thanh toán tiền đối với chứng khoán chuyển quyển sở hữu (nếu có).</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Thực hiện nộp đầy đủ thuế, tiền giá dịch vụ theo quy định của pháp luật (nếu có).</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bookmarkStart w:id="1" w:name="_Hlk179112041"/>
      <w:r w:rsidRPr="000B6588">
        <w:rPr>
          <w:rFonts w:ascii="Times New Roman" w:hAnsi="Times New Roman"/>
          <w:color w:val="000000"/>
          <w:sz w:val="26"/>
          <w:szCs w:val="26"/>
          <w:lang w:val="nl-NL"/>
        </w:rPr>
        <w:t>- Việc đề nghị chuyển quyền sở hữu chứng khoán và các hồ sơ, tài liệu gửi theo Giấy đề nghị này là hợp pháp, trung thực, chính xác. Chúng tôi chịu hoàn toàn trách nhiệm trước pháp luật trong trường hợp phát sinh tranh chấp.</w:t>
      </w:r>
      <w:bookmarkEnd w:id="1"/>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b/>
          <w:i/>
          <w:iCs/>
          <w:color w:val="000000"/>
          <w:sz w:val="26"/>
          <w:szCs w:val="26"/>
          <w:lang w:val="nl-NL"/>
        </w:rPr>
      </w:pPr>
      <w:r w:rsidRPr="000B6588">
        <w:rPr>
          <w:rFonts w:ascii="Times New Roman" w:hAnsi="Times New Roman"/>
          <w:b/>
          <w:i/>
          <w:iCs/>
          <w:color w:val="000000"/>
          <w:sz w:val="26"/>
          <w:szCs w:val="26"/>
          <w:lang w:val="nl-NL"/>
        </w:rPr>
        <w:t xml:space="preserve">Phần nội dung áp dụng đối với một số trường hợp cụ thể </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i/>
          <w:color w:val="000000"/>
          <w:sz w:val="26"/>
          <w:szCs w:val="26"/>
          <w:lang w:val="nl-NL"/>
        </w:rPr>
      </w:pPr>
      <w:r w:rsidRPr="000B6588">
        <w:rPr>
          <w:rFonts w:ascii="Times New Roman" w:hAnsi="Times New Roman"/>
          <w:i/>
          <w:color w:val="000000"/>
          <w:sz w:val="26"/>
          <w:szCs w:val="26"/>
          <w:lang w:val="nl-NL"/>
        </w:rPr>
        <w:t>Đối với trường hợp chuyển quyền sở hữu do chia, tách, sáp nhập, hợp nhất, giải thể doanh nghiệp: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Đã thực hiện trình tự, thủ tục chia, tách, sáp nhập, hợp nhất, giải thể doanh nghiệp theo quy định pháp luật doanh nghiệp.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Đã thông báo cho các chủ nợ và người lao động về việc chia, tách, sáp nhập, hợp nhất doanh nghiệp.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Cùng liên đới chịu trách nhiệm về các khoản nợ chưa thanh toán, hợp đồng lao động và nghĩa vụ tài sản khác của công ty bị chia, tách, sáp nhập, hợp nhất.</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Đã thanh toán hết các khoản nợ tồn đọng và quyền lợi của người lao động đã được giải quyết đồng thời cam kết chịu trách nhiệm nếu có phát sinh tranh chấp về các khoản nợ trên (trường hợp giải thể doanh nghiệp).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i/>
          <w:color w:val="000000"/>
          <w:sz w:val="26"/>
          <w:szCs w:val="26"/>
          <w:lang w:val="nl-NL"/>
        </w:rPr>
      </w:pPr>
      <w:r w:rsidRPr="000B6588">
        <w:rPr>
          <w:rFonts w:ascii="Times New Roman" w:hAnsi="Times New Roman"/>
          <w:i/>
          <w:color w:val="000000"/>
          <w:sz w:val="26"/>
          <w:szCs w:val="26"/>
          <w:lang w:val="nl-NL"/>
        </w:rPr>
        <w:t>Đối với trường hợp chuyển quyền sở hữu do tổ chức lại đơn vị sự nghiệp công lập: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Hoàn thành nghĩa vụ về tài chính, các khoản vay, nợ phải trả và các vấn đề khác có liên quan (nếu có).</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i/>
          <w:color w:val="000000"/>
          <w:sz w:val="26"/>
          <w:szCs w:val="26"/>
          <w:lang w:val="nl-NL"/>
        </w:rPr>
      </w:pPr>
      <w:r w:rsidRPr="000B6588">
        <w:rPr>
          <w:rFonts w:ascii="Times New Roman" w:hAnsi="Times New Roman"/>
          <w:i/>
          <w:color w:val="000000"/>
          <w:sz w:val="26"/>
          <w:szCs w:val="26"/>
          <w:lang w:val="nl-NL"/>
        </w:rPr>
        <w:t>Đối với trường hợp chuyển quyền sở hữu</w:t>
      </w:r>
      <w:r w:rsidRPr="000B6588">
        <w:rPr>
          <w:rFonts w:ascii="Times New Roman" w:hAnsi="Times New Roman"/>
          <w:color w:val="000000"/>
          <w:sz w:val="26"/>
          <w:szCs w:val="26"/>
          <w:lang w:val="nl-NL"/>
        </w:rPr>
        <w:t xml:space="preserve"> </w:t>
      </w:r>
      <w:r w:rsidRPr="000B6588">
        <w:rPr>
          <w:rFonts w:ascii="Times New Roman" w:hAnsi="Times New Roman"/>
          <w:i/>
          <w:color w:val="000000"/>
          <w:sz w:val="26"/>
          <w:szCs w:val="26"/>
          <w:lang w:val="nl-NL"/>
        </w:rPr>
        <w:t>do góp vốn bằng cổ phần vào doanh nghiệp:</w:t>
      </w:r>
    </w:p>
    <w:p w:rsidR="00525B8D" w:rsidRPr="000B6588" w:rsidRDefault="00525B8D" w:rsidP="00525B8D">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Tuân thủ quy định liên quan đến việc góp vốn.</w:t>
      </w:r>
    </w:p>
    <w:p w:rsidR="00525B8D" w:rsidRPr="000B6588" w:rsidRDefault="00525B8D" w:rsidP="00525B8D">
      <w:pPr>
        <w:pStyle w:val="Header"/>
        <w:tabs>
          <w:tab w:val="clear" w:pos="4320"/>
          <w:tab w:val="clear" w:pos="8640"/>
        </w:tabs>
        <w:spacing w:line="276" w:lineRule="auto"/>
        <w:jc w:val="right"/>
        <w:rPr>
          <w:rFonts w:ascii="Times New Roman" w:hAnsi="Times New Roman"/>
          <w:i/>
          <w:iCs/>
          <w:color w:val="000000"/>
          <w:sz w:val="26"/>
          <w:szCs w:val="26"/>
          <w:lang w:val="nl-NL"/>
        </w:rPr>
      </w:pPr>
      <w:r w:rsidRPr="000B6588">
        <w:rPr>
          <w:rFonts w:ascii="Times New Roman" w:hAnsi="Times New Roman"/>
          <w:i/>
          <w:iCs/>
          <w:color w:val="000000"/>
          <w:sz w:val="26"/>
          <w:szCs w:val="26"/>
          <w:lang w:val="nl-NL"/>
        </w:rPr>
        <w:t xml:space="preserve">...., ngày ....  tháng  ....  năm.... </w:t>
      </w:r>
    </w:p>
    <w:p w:rsidR="00525B8D" w:rsidRPr="000B6588" w:rsidRDefault="00525B8D" w:rsidP="00525B8D">
      <w:pPr>
        <w:pStyle w:val="Header"/>
        <w:tabs>
          <w:tab w:val="clear" w:pos="4320"/>
          <w:tab w:val="clear" w:pos="8640"/>
        </w:tabs>
        <w:spacing w:line="276" w:lineRule="auto"/>
        <w:jc w:val="center"/>
        <w:rPr>
          <w:rFonts w:ascii="Times New Roman" w:hAnsi="Times New Roman"/>
          <w:b/>
          <w:bCs/>
          <w:color w:val="000000"/>
          <w:sz w:val="26"/>
          <w:szCs w:val="26"/>
          <w:lang w:val="nl-NL"/>
        </w:rPr>
      </w:pPr>
      <w:r w:rsidRPr="000B6588">
        <w:rPr>
          <w:rFonts w:ascii="Times New Roman" w:hAnsi="Times New Roman"/>
          <w:b/>
          <w:color w:val="000000"/>
          <w:sz w:val="26"/>
          <w:szCs w:val="26"/>
          <w:lang w:val="nl-NL"/>
        </w:rPr>
        <w:t xml:space="preserve">Bên nhận chuyển quyền sở hữu </w:t>
      </w:r>
      <w:r w:rsidRPr="000B6588">
        <w:rPr>
          <w:rFonts w:ascii="Times New Roman" w:hAnsi="Times New Roman"/>
          <w:b/>
          <w:color w:val="000000"/>
          <w:sz w:val="26"/>
          <w:szCs w:val="26"/>
          <w:lang w:val="nl-NL"/>
        </w:rPr>
        <w:tab/>
      </w:r>
      <w:r w:rsidRPr="000B6588">
        <w:rPr>
          <w:rFonts w:ascii="Times New Roman" w:hAnsi="Times New Roman"/>
          <w:b/>
          <w:color w:val="000000"/>
          <w:sz w:val="26"/>
          <w:szCs w:val="26"/>
          <w:lang w:val="nl-NL"/>
        </w:rPr>
        <w:tab/>
        <w:t xml:space="preserve">          </w:t>
      </w:r>
      <w:r w:rsidRPr="000B6588">
        <w:rPr>
          <w:rFonts w:ascii="Times New Roman" w:hAnsi="Times New Roman"/>
          <w:b/>
          <w:bCs/>
          <w:color w:val="000000"/>
          <w:sz w:val="26"/>
          <w:szCs w:val="26"/>
          <w:lang w:val="nl-NL"/>
        </w:rPr>
        <w:t>Bên chuyển quyền sở hữu (*)</w:t>
      </w:r>
    </w:p>
    <w:p w:rsidR="00525B8D" w:rsidRPr="000B6588" w:rsidRDefault="00525B8D" w:rsidP="00525B8D">
      <w:pPr>
        <w:pStyle w:val="Header"/>
        <w:tabs>
          <w:tab w:val="clear" w:pos="4320"/>
          <w:tab w:val="clear" w:pos="8640"/>
        </w:tabs>
        <w:spacing w:line="276" w:lineRule="auto"/>
        <w:rPr>
          <w:rFonts w:ascii="Times New Roman" w:hAnsi="Times New Roman"/>
          <w:bCs/>
          <w:i/>
          <w:color w:val="000000"/>
          <w:sz w:val="26"/>
          <w:szCs w:val="26"/>
          <w:lang w:val="nl-NL"/>
        </w:rPr>
      </w:pPr>
      <w:r w:rsidRPr="000B6588">
        <w:rPr>
          <w:rFonts w:ascii="Times New Roman" w:hAnsi="Times New Roman"/>
          <w:bCs/>
          <w:i/>
          <w:color w:val="000000"/>
          <w:sz w:val="26"/>
          <w:szCs w:val="26"/>
          <w:lang w:val="nl-NL"/>
        </w:rPr>
        <w:t xml:space="preserve">                                       </w:t>
      </w:r>
    </w:p>
    <w:p w:rsidR="00525B8D" w:rsidRPr="000B6588" w:rsidRDefault="00525B8D" w:rsidP="00525B8D">
      <w:pPr>
        <w:pStyle w:val="Header"/>
        <w:tabs>
          <w:tab w:val="clear" w:pos="4320"/>
          <w:tab w:val="clear" w:pos="8640"/>
        </w:tabs>
        <w:spacing w:line="276" w:lineRule="auto"/>
        <w:rPr>
          <w:rFonts w:ascii="Times New Roman" w:hAnsi="Times New Roman"/>
          <w:bCs/>
          <w:i/>
          <w:color w:val="000000"/>
          <w:sz w:val="26"/>
          <w:szCs w:val="26"/>
          <w:lang w:val="nl-NL"/>
        </w:rPr>
      </w:pPr>
    </w:p>
    <w:p w:rsidR="00525B8D" w:rsidRPr="000B6588" w:rsidRDefault="00525B8D" w:rsidP="00525B8D">
      <w:pPr>
        <w:pStyle w:val="Header"/>
        <w:tabs>
          <w:tab w:val="clear" w:pos="4320"/>
          <w:tab w:val="clear" w:pos="8640"/>
        </w:tabs>
        <w:spacing w:line="276" w:lineRule="auto"/>
        <w:rPr>
          <w:rFonts w:ascii="Times New Roman" w:hAnsi="Times New Roman"/>
          <w:bCs/>
          <w:i/>
          <w:color w:val="000000"/>
          <w:sz w:val="26"/>
          <w:szCs w:val="26"/>
          <w:lang w:val="nl-NL"/>
        </w:rPr>
      </w:pPr>
    </w:p>
    <w:p w:rsidR="00525B8D" w:rsidRPr="000B6588" w:rsidRDefault="00525B8D" w:rsidP="00525B8D">
      <w:pPr>
        <w:pStyle w:val="Header"/>
        <w:tabs>
          <w:tab w:val="clear" w:pos="4320"/>
          <w:tab w:val="clear" w:pos="8640"/>
        </w:tabs>
        <w:spacing w:line="276" w:lineRule="auto"/>
        <w:rPr>
          <w:rFonts w:ascii="Times New Roman" w:hAnsi="Times New Roman"/>
          <w:b/>
          <w:color w:val="000000"/>
          <w:sz w:val="26"/>
          <w:szCs w:val="26"/>
          <w:lang w:val="nl-NL"/>
        </w:rPr>
      </w:pPr>
      <w:r w:rsidRPr="000B6588">
        <w:rPr>
          <w:rFonts w:ascii="Times New Roman" w:hAnsi="Times New Roman"/>
          <w:bCs/>
          <w:i/>
          <w:color w:val="000000"/>
          <w:sz w:val="26"/>
          <w:szCs w:val="26"/>
          <w:lang w:val="nl-NL"/>
        </w:rPr>
        <w:t xml:space="preserve">                 </w:t>
      </w:r>
    </w:p>
    <w:p w:rsidR="00525B8D" w:rsidRPr="000B6588" w:rsidRDefault="00525B8D" w:rsidP="00525B8D">
      <w:pPr>
        <w:spacing w:line="276" w:lineRule="auto"/>
        <w:rPr>
          <w:color w:val="000000"/>
          <w:sz w:val="22"/>
          <w:szCs w:val="22"/>
          <w:lang w:val="nl-NL"/>
        </w:rPr>
      </w:pPr>
      <w:r w:rsidRPr="000B6588">
        <w:rPr>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-3175</wp:posOffset>
                </wp:positionV>
                <wp:extent cx="4923790" cy="0"/>
                <wp:effectExtent l="7620" t="6985" r="1206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3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4563A" id="_x0000_t32" coordsize="21600,21600" o:spt="32" o:oned="t" path="m,l21600,21600e" filled="f">
                <v:path arrowok="t" fillok="f" o:connecttype="none"/>
                <o:lock v:ext="edit" shapetype="t"/>
              </v:shapetype>
              <v:shape id="Straight Arrow Connector 1" o:spid="_x0000_s1026" type="#_x0000_t32" style="position:absolute;margin-left:21.3pt;margin-top:-.25pt;width:38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"/>
            </w:pict>
          </mc:Fallback>
        </mc:AlternateContent>
      </w:r>
      <w:r w:rsidRPr="000B6588">
        <w:rPr>
          <w:i/>
          <w:color w:val="000000"/>
          <w:sz w:val="22"/>
          <w:szCs w:val="22"/>
          <w:lang w:val="nl-NL"/>
        </w:rPr>
        <w:t>Loại CK: (AVAI) CK tự do chuyển nhượng</w:t>
      </w:r>
      <w:r w:rsidRPr="000B6588">
        <w:rPr>
          <w:i/>
          <w:color w:val="000000"/>
          <w:sz w:val="22"/>
          <w:szCs w:val="22"/>
          <w:lang w:val="vi-VN"/>
        </w:rPr>
        <w:t xml:space="preserve"> </w:t>
      </w:r>
      <w:r w:rsidRPr="000B6588">
        <w:rPr>
          <w:i/>
          <w:color w:val="000000"/>
          <w:sz w:val="22"/>
          <w:szCs w:val="22"/>
          <w:lang w:val="nl-NL"/>
        </w:rPr>
        <w:t xml:space="preserve">(NAVL) CK hạn chế chuyển nhượng </w:t>
      </w:r>
    </w:p>
    <w:p w:rsidR="00525B8D" w:rsidRPr="000B6588" w:rsidRDefault="00525B8D" w:rsidP="00525B8D">
      <w:pPr>
        <w:pStyle w:val="Header"/>
        <w:tabs>
          <w:tab w:val="left" w:pos="388"/>
        </w:tabs>
        <w:spacing w:line="276" w:lineRule="auto"/>
        <w:rPr>
          <w:rFonts w:ascii="Times New Roman" w:hAnsi="Times New Roman"/>
          <w:i/>
          <w:color w:val="000000"/>
          <w:sz w:val="22"/>
          <w:szCs w:val="22"/>
          <w:lang w:val="nl-NL"/>
        </w:rPr>
      </w:pPr>
      <w:r w:rsidRPr="000B6588">
        <w:rPr>
          <w:rFonts w:ascii="Times New Roman" w:hAnsi="Times New Roman"/>
          <w:i/>
          <w:color w:val="000000"/>
          <w:sz w:val="22"/>
          <w:szCs w:val="22"/>
          <w:lang w:val="nl-NL"/>
        </w:rPr>
        <w:t xml:space="preserve">(*): Đối với trường hợp chuyển quyền sở hữu chứng khoán do “TCĐKCK thu hồi/Công đoàn của TCĐKCK mua lại, thu hồi của người lao động nghỉ việc”: Trường hợp không lấy được chữ ký xác nhận </w:t>
      </w:r>
      <w:r w:rsidRPr="000B6588">
        <w:rPr>
          <w:rFonts w:ascii="Times New Roman" w:hAnsi="Times New Roman"/>
          <w:i/>
          <w:color w:val="000000"/>
          <w:sz w:val="22"/>
          <w:szCs w:val="22"/>
          <w:lang w:val="nl-NL"/>
        </w:rPr>
        <w:lastRenderedPageBreak/>
        <w:t>của người lao động nghỉ việc vì lý do khách quan,</w:t>
      </w:r>
      <w:r w:rsidRPr="000B6588">
        <w:rPr>
          <w:rFonts w:ascii="Times New Roman" w:hAnsi="Times New Roman"/>
          <w:color w:val="000000"/>
          <w:lang w:val="nl-NL"/>
        </w:rPr>
        <w:t xml:space="preserve"> </w:t>
      </w:r>
      <w:r w:rsidRPr="000B6588">
        <w:rPr>
          <w:rFonts w:ascii="Times New Roman" w:hAnsi="Times New Roman"/>
          <w:i/>
          <w:color w:val="000000"/>
          <w:sz w:val="22"/>
          <w:szCs w:val="22"/>
          <w:lang w:val="nl-NL"/>
        </w:rPr>
        <w:t>TCĐKCK gửi kèm theo Giấy đề nghị chuyển quyền sở hữu này các tài liệu sau:</w:t>
      </w:r>
    </w:p>
    <w:p w:rsidR="00525B8D" w:rsidRPr="000B6588" w:rsidRDefault="00525B8D" w:rsidP="00525B8D">
      <w:pPr>
        <w:pStyle w:val="Header"/>
        <w:tabs>
          <w:tab w:val="left" w:pos="388"/>
        </w:tabs>
        <w:spacing w:line="276" w:lineRule="auto"/>
        <w:rPr>
          <w:rFonts w:ascii="Times New Roman" w:hAnsi="Times New Roman"/>
          <w:i/>
          <w:color w:val="000000"/>
          <w:sz w:val="22"/>
          <w:szCs w:val="22"/>
          <w:lang w:val="nl-NL"/>
        </w:rPr>
      </w:pPr>
      <w:r w:rsidRPr="000B6588">
        <w:rPr>
          <w:rFonts w:ascii="Times New Roman" w:hAnsi="Times New Roman"/>
          <w:i/>
          <w:color w:val="000000"/>
          <w:sz w:val="22"/>
          <w:szCs w:val="22"/>
          <w:lang w:val="nl-NL"/>
        </w:rPr>
        <w:t>- Danh sách người lao động không lấy được chữ ký có chữ ký xác nhận của Người đại diện theo pháp luật, đóng dấu của TCĐKCK;</w:t>
      </w:r>
    </w:p>
    <w:p w:rsidR="00525B8D" w:rsidRDefault="00525B8D" w:rsidP="00525B8D">
      <w:pPr>
        <w:pStyle w:val="Header"/>
        <w:tabs>
          <w:tab w:val="clear" w:pos="4320"/>
          <w:tab w:val="clear" w:pos="8640"/>
          <w:tab w:val="left" w:pos="388"/>
        </w:tabs>
        <w:spacing w:line="276" w:lineRule="auto"/>
        <w:rPr>
          <w:rFonts w:ascii="Times New Roman" w:hAnsi="Times New Roman"/>
          <w:i/>
          <w:color w:val="000000"/>
          <w:sz w:val="22"/>
          <w:szCs w:val="22"/>
          <w:lang w:val="nl-NL"/>
        </w:rPr>
      </w:pPr>
      <w:r w:rsidRPr="000B6588">
        <w:rPr>
          <w:rFonts w:ascii="Times New Roman" w:hAnsi="Times New Roman"/>
          <w:i/>
          <w:color w:val="000000"/>
          <w:sz w:val="22"/>
          <w:szCs w:val="22"/>
          <w:lang w:val="nl-NL"/>
        </w:rPr>
        <w:t>- Văn bản của TCĐKCK nêu rõ lý do không lấy được chữ ký xác nhận của người lao động và cam kết thực hiện việc chuyển quyền sở hữu chứng khoán theo đúng quy định pháp luật đồng thời chịu trách nhiệm đối với các tranh chấp, khiếu kiện, khiếu nại phát sinh (nếu có).</w:t>
      </w:r>
    </w:p>
    <w:p w:rsidR="00D63E1D" w:rsidRDefault="00D63E1D">
      <w:bookmarkStart w:id="2" w:name="_GoBack"/>
      <w:bookmarkEnd w:id="2"/>
    </w:p>
    <w:sectPr w:rsidR="00D63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C6" w:rsidRDefault="006502C6" w:rsidP="00525B8D">
      <w:r>
        <w:separator/>
      </w:r>
    </w:p>
  </w:endnote>
  <w:endnote w:type="continuationSeparator" w:id="0">
    <w:p w:rsidR="006502C6" w:rsidRDefault="006502C6" w:rsidP="0052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C6" w:rsidRDefault="006502C6" w:rsidP="00525B8D">
      <w:r>
        <w:separator/>
      </w:r>
    </w:p>
  </w:footnote>
  <w:footnote w:type="continuationSeparator" w:id="0">
    <w:p w:rsidR="006502C6" w:rsidRDefault="006502C6" w:rsidP="00525B8D">
      <w:r>
        <w:continuationSeparator/>
      </w:r>
    </w:p>
  </w:footnote>
  <w:footnote w:id="1">
    <w:p w:rsidR="00525B8D" w:rsidRDefault="00525B8D" w:rsidP="00525B8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3B8"/>
    <w:multiLevelType w:val="hybridMultilevel"/>
    <w:tmpl w:val="A1ACC89C"/>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7E3C52"/>
    <w:multiLevelType w:val="hybridMultilevel"/>
    <w:tmpl w:val="9CD07C96"/>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D6"/>
    <w:rsid w:val="00525B8D"/>
    <w:rsid w:val="006502C6"/>
    <w:rsid w:val="00AD76D6"/>
    <w:rsid w:val="00D6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4B97C-8EA9-41F6-9C12-156E3309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8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525B8D"/>
    <w:pPr>
      <w:keepNext/>
      <w:spacing w:before="240" w:after="60"/>
      <w:jc w:val="right"/>
      <w:outlineLvl w:val="3"/>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25B8D"/>
    <w:rPr>
      <w:rFonts w:ascii="Times New Roman" w:eastAsia="Times New Roman" w:hAnsi="Times New Roman" w:cs="Times New Roman"/>
      <w:b/>
      <w:bCs/>
      <w:sz w:val="26"/>
      <w:szCs w:val="28"/>
    </w:rPr>
  </w:style>
  <w:style w:type="paragraph" w:styleId="Header">
    <w:name w:val="header"/>
    <w:basedOn w:val="Normal"/>
    <w:link w:val="HeaderChar"/>
    <w:uiPriority w:val="99"/>
    <w:rsid w:val="00525B8D"/>
    <w:pPr>
      <w:tabs>
        <w:tab w:val="center" w:pos="4320"/>
        <w:tab w:val="right" w:pos="8640"/>
      </w:tabs>
    </w:pPr>
    <w:rPr>
      <w:rFonts w:ascii=".VnTime" w:hAnsi=".VnTime"/>
      <w:sz w:val="28"/>
    </w:rPr>
  </w:style>
  <w:style w:type="character" w:customStyle="1" w:styleId="HeaderChar">
    <w:name w:val="Header Char"/>
    <w:basedOn w:val="DefaultParagraphFont"/>
    <w:link w:val="Header"/>
    <w:uiPriority w:val="99"/>
    <w:rsid w:val="00525B8D"/>
    <w:rPr>
      <w:rFonts w:ascii=".VnTime" w:eastAsia="Times New Roman" w:hAnsi=".VnTime" w:cs="Times New Roman"/>
      <w:sz w:val="28"/>
      <w:szCs w:val="24"/>
    </w:rPr>
  </w:style>
  <w:style w:type="paragraph" w:styleId="FootnoteText">
    <w:name w:val="footnote text"/>
    <w:basedOn w:val="Normal"/>
    <w:link w:val="FootnoteTextChar"/>
    <w:rsid w:val="00525B8D"/>
    <w:rPr>
      <w:sz w:val="20"/>
      <w:szCs w:val="20"/>
    </w:rPr>
  </w:style>
  <w:style w:type="character" w:customStyle="1" w:styleId="FootnoteTextChar">
    <w:name w:val="Footnote Text Char"/>
    <w:basedOn w:val="DefaultParagraphFont"/>
    <w:link w:val="FootnoteText"/>
    <w:rsid w:val="00525B8D"/>
    <w:rPr>
      <w:rFonts w:ascii="Times New Roman" w:eastAsia="Times New Roman" w:hAnsi="Times New Roman" w:cs="Times New Roman"/>
      <w:sz w:val="20"/>
      <w:szCs w:val="20"/>
    </w:rPr>
  </w:style>
  <w:style w:type="character" w:styleId="FootnoteReference">
    <w:name w:val="footnote reference"/>
    <w:rsid w:val="00525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3483</Characters>
  <Application>Microsoft Office Word</Application>
  <DocSecurity>0</DocSecurity>
  <Lines>29</Lines>
  <Paragraphs>8</Paragraphs>
  <ScaleCrop>false</ScaleCrop>
  <Company>HP</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Son</dc:creator>
  <cp:keywords/>
  <dc:description/>
  <cp:lastModifiedBy>Nguyen Duy Son</cp:lastModifiedBy>
  <cp:revision>2</cp:revision>
  <dcterms:created xsi:type="dcterms:W3CDTF">2025-10-30T08:21:00Z</dcterms:created>
  <dcterms:modified xsi:type="dcterms:W3CDTF">2025-10-30T08:21:00Z</dcterms:modified>
</cp:coreProperties>
</file>